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2F6A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MyFont" w:hAnsi="MyFont" w:eastAsia="MyFont" w:cs="MyFont"/>
          <w:sz w:val="42"/>
          <w:szCs w:val="42"/>
        </w:rPr>
      </w:pPr>
      <w:r>
        <w:rPr>
          <w:rFonts w:hint="default" w:ascii="MyFont" w:hAnsi="MyFont" w:eastAsia="MyFont" w:cs="MyFont"/>
          <w:i w:val="0"/>
          <w:iCs w:val="0"/>
          <w:caps w:val="0"/>
          <w:color w:val="444444"/>
          <w:spacing w:val="0"/>
          <w:sz w:val="42"/>
          <w:szCs w:val="42"/>
          <w:bdr w:val="none" w:color="auto" w:sz="0" w:space="0"/>
          <w:shd w:val="clear" w:fill="FFFFFF"/>
        </w:rPr>
        <w:t>慈善组织公开募捐管理办法</w:t>
      </w:r>
    </w:p>
    <w:p w14:paraId="4521B23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444444"/>
          <w:spacing w:val="0"/>
          <w:sz w:val="24"/>
          <w:szCs w:val="24"/>
        </w:rPr>
      </w:pPr>
      <w:r>
        <w:rPr>
          <w:rFonts w:ascii="仿宋" w:hAnsi="仿宋" w:eastAsia="仿宋" w:cs="仿宋"/>
          <w:i w:val="0"/>
          <w:iCs w:val="0"/>
          <w:caps w:val="0"/>
          <w:color w:val="444444"/>
          <w:spacing w:val="0"/>
          <w:kern w:val="0"/>
          <w:sz w:val="27"/>
          <w:szCs w:val="27"/>
          <w:shd w:val="clear" w:fill="FFFFFF"/>
          <w:lang w:val="en-US" w:eastAsia="zh-CN" w:bidi="ar"/>
        </w:rPr>
        <w:t>（中华人民共和国民政部令第74号已经2024年7月26日民政部部务会议通过，现予公布，自2024年9月5日起施行。）</w:t>
      </w:r>
    </w:p>
    <w:p w14:paraId="6BC9744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第一条 </w:t>
      </w:r>
      <w:r>
        <w:rPr>
          <w:rFonts w:hint="eastAsia" w:ascii="微软雅黑" w:hAnsi="微软雅黑" w:eastAsia="微软雅黑" w:cs="微软雅黑"/>
          <w:i w:val="0"/>
          <w:iCs w:val="0"/>
          <w:caps w:val="0"/>
          <w:color w:val="444444"/>
          <w:spacing w:val="0"/>
          <w:sz w:val="24"/>
          <w:szCs w:val="24"/>
          <w:bdr w:val="none" w:color="auto" w:sz="0" w:space="0"/>
          <w:shd w:val="clear" w:fill="FFFFFF"/>
        </w:rPr>
        <w:t>为了规范慈善组织开展公开募捐，根据《中华人民共和国慈善法》（以下简称慈善法），制定本办法。</w:t>
      </w:r>
    </w:p>
    <w:p w14:paraId="139455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第二条 </w:t>
      </w: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慈善组织公开募捐资格和公开募捐活动管理，适用本办法。</w:t>
      </w:r>
    </w:p>
    <w:p w14:paraId="2DFC13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第三条</w:t>
      </w:r>
      <w:r>
        <w:rPr>
          <w:rFonts w:hint="eastAsia" w:ascii="微软雅黑" w:hAnsi="微软雅黑" w:eastAsia="微软雅黑" w:cs="微软雅黑"/>
          <w:i w:val="0"/>
          <w:iCs w:val="0"/>
          <w:caps w:val="0"/>
          <w:color w:val="444444"/>
          <w:spacing w:val="0"/>
          <w:sz w:val="24"/>
          <w:szCs w:val="24"/>
          <w:bdr w:val="none" w:color="auto" w:sz="0" w:space="0"/>
          <w:shd w:val="clear" w:fill="FFFFFF"/>
        </w:rPr>
        <w:t> 依法取得公开募捐资格的慈善组织可以面向公众开展募捐。不具有公开募捐资格的组织和个人不得自行开展公开募捐。</w:t>
      </w:r>
    </w:p>
    <w:p w14:paraId="7583A9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第四条 </w:t>
      </w:r>
      <w:r>
        <w:rPr>
          <w:rFonts w:hint="eastAsia" w:ascii="微软雅黑" w:hAnsi="微软雅黑" w:eastAsia="微软雅黑" w:cs="微软雅黑"/>
          <w:i w:val="0"/>
          <w:iCs w:val="0"/>
          <w:caps w:val="0"/>
          <w:color w:val="444444"/>
          <w:spacing w:val="0"/>
          <w:sz w:val="24"/>
          <w:szCs w:val="24"/>
          <w:bdr w:val="none" w:color="auto" w:sz="0" w:space="0"/>
          <w:shd w:val="clear" w:fill="FFFFFF"/>
        </w:rPr>
        <w:t>县级以上人民政府民政部门依法对其登记或者认定的慈善组织公开募捐资格和公开募捐活动进行监督管理，并对本行政区域内涉及公开募捐的有关活动进行监督管理。</w:t>
      </w:r>
    </w:p>
    <w:p w14:paraId="48F443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慈善组织有业务主管单位的，业务主管单位应当加强对其公开募捐活动的指导、监督。</w:t>
      </w:r>
    </w:p>
    <w:p w14:paraId="5E5333F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第五条</w:t>
      </w:r>
      <w:r>
        <w:rPr>
          <w:rFonts w:hint="eastAsia" w:ascii="微软雅黑" w:hAnsi="微软雅黑" w:eastAsia="微软雅黑" w:cs="微软雅黑"/>
          <w:i w:val="0"/>
          <w:iCs w:val="0"/>
          <w:caps w:val="0"/>
          <w:color w:val="444444"/>
          <w:spacing w:val="0"/>
          <w:sz w:val="24"/>
          <w:szCs w:val="24"/>
          <w:bdr w:val="none" w:color="auto" w:sz="0" w:space="0"/>
          <w:shd w:val="clear" w:fill="FFFFFF"/>
        </w:rPr>
        <w:t> 依法登记满一年的慈善组织或者认定为慈善组织满一年的社会组织，可以向办理其登记的民政部门申请公开募捐资格。申请公开募捐资格，应当符合下列条件：</w:t>
      </w:r>
    </w:p>
    <w:p w14:paraId="417AC69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（一）根据法律法规和本组织章程建立规范的内部治理结构，理事会能够有效决策，负责人任职符合有关规定，理事会成员和负责人勤勉尽职，诚实守信；</w:t>
      </w:r>
    </w:p>
    <w:p w14:paraId="5CFB02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二）理事会成员来自同一组织以及相互间存在关联关系组织的不超过三分之一，相互间具有近亲属关系的没有同时在理事会任职；理事会成员中非内地居民不超过三分之一，法定代表人由内地居民担任；秘书长为专职，理事长（会长）、秘书长不得由同一人兼任；有与本慈善组织开展活动相适应的专职工作人员；</w:t>
      </w:r>
    </w:p>
    <w:p w14:paraId="11E0AA4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（三）监事能够依法履行监督职责；在省级以上人民政府民政部门登记或者认定的慈善组织有三名以上监事组成的监事会；</w:t>
      </w:r>
    </w:p>
    <w:p w14:paraId="45942C5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（四）有健全的财务管理制度、项目管理制度、采购管理制度、资产管理制度、人事管理制度、档案管理制度、会计监督制度</w:t>
      </w:r>
      <w:bookmarkStart w:id="0" w:name="_GoBack"/>
      <w:bookmarkEnd w:id="0"/>
      <w:r>
        <w:rPr>
          <w:rFonts w:hint="eastAsia" w:ascii="微软雅黑" w:hAnsi="微软雅黑" w:eastAsia="微软雅黑" w:cs="微软雅黑"/>
          <w:i w:val="0"/>
          <w:iCs w:val="0"/>
          <w:caps w:val="0"/>
          <w:color w:val="444444"/>
          <w:spacing w:val="0"/>
          <w:sz w:val="24"/>
          <w:szCs w:val="24"/>
          <w:bdr w:val="none" w:color="auto" w:sz="0" w:space="0"/>
          <w:shd w:val="clear" w:fill="FFFFFF"/>
        </w:rPr>
        <w:t>、信息公开制度等内部管理和风险控制制度，且能够规范执行；</w:t>
      </w:r>
    </w:p>
    <w:p w14:paraId="1834670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（五）能够充分、高效运用慈善财产，依法依章程开展慈善活动，上一年度慈善活动的年度支出和管理费用符合规定；</w:t>
      </w:r>
    </w:p>
    <w:p w14:paraId="42321EA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（六）依法办理税务登记，履行纳税义务；严格执行国家统一的会计制度，依法进行会计核算；按时报送年度工作报告，严格履行信息公开义务；</w:t>
      </w:r>
    </w:p>
    <w:p w14:paraId="6EEEA47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（七）按照规定参加社会组织评估，评估结果为3A及以上且在有效期以内，申请时登记成立不满二年的除外；</w:t>
      </w:r>
    </w:p>
    <w:p w14:paraId="0788FC1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（八）申请时未纳入社会组织活动异常名录或者严重违法失信名单；</w:t>
      </w:r>
    </w:p>
    <w:p w14:paraId="7912C3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（九）申请公开募捐资格前一年，未因违反社会组织相关法律法规受到行政处罚，没有其他违反法律、法规、国家政策的行为。</w:t>
      </w:r>
    </w:p>
    <w:p w14:paraId="59AD532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第六条 </w:t>
      </w: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慈善组织申请公开募捐资格，应当向办理其登记的民政部门提交下列材料：</w:t>
      </w:r>
    </w:p>
    <w:p w14:paraId="21A633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（一）申请书，包括本组织符合第五条各项条件的具体说明和书面承诺；</w:t>
      </w:r>
    </w:p>
    <w:p w14:paraId="1508F1C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（二）注册会计师出具的申请前一年的财务审计报告，包括慈善活动年度支出和管理费用的专项信息报告；</w:t>
      </w:r>
    </w:p>
    <w:p w14:paraId="06FC36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（三）理事会关于同意申请公开募捐资格的书面会议决议。</w:t>
      </w:r>
    </w:p>
    <w:p w14:paraId="281F0AF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有业务主管单位的慈善组织，还应当提交报经业务主管单位同意的书面材料。</w:t>
      </w:r>
    </w:p>
    <w:p w14:paraId="1DA006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第七条 </w:t>
      </w:r>
      <w:r>
        <w:rPr>
          <w:rFonts w:hint="eastAsia" w:ascii="微软雅黑" w:hAnsi="微软雅黑" w:eastAsia="微软雅黑" w:cs="微软雅黑"/>
          <w:i w:val="0"/>
          <w:iCs w:val="0"/>
          <w:caps w:val="0"/>
          <w:color w:val="444444"/>
          <w:spacing w:val="0"/>
          <w:sz w:val="24"/>
          <w:szCs w:val="24"/>
          <w:bdr w:val="none" w:color="auto" w:sz="0" w:space="0"/>
          <w:shd w:val="clear" w:fill="FFFFFF"/>
        </w:rPr>
        <w:t>民政部门收到全部有效材料后，应当依法进行审核，并于二十日内作出决定。对符合条件的慈善组织，发给公开募捐资格证书；对不符合条件的，不发给公开募捐资格证书并书面说明理由。</w:t>
      </w:r>
    </w:p>
    <w:p w14:paraId="2D9155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情况复杂的，民政部门可以征求有关部门意见或者通过论证会、听证会等形式听取意见，也可以根据需要对该组织进行实地考察。征求意见和实地考察所需时间不计算在审核期限内。</w:t>
      </w:r>
    </w:p>
    <w:p w14:paraId="40FC8A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第八条 </w:t>
      </w: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不得伪造、变造、出租、出借公开募捐资格证书。公开募捐资格证书丢失、严重损毁的，应当及时报告办理其登记的民政部门进行补办。公开募捐资格证书被盗用或者冒用的，慈善组织应当及时向社会公告，并向办理其登记的民政部门报告。慈善组织有业务主管单位的，应当同时向业务主管单位报告。</w:t>
      </w:r>
    </w:p>
    <w:p w14:paraId="4CDDEE2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第九条 </w:t>
      </w:r>
      <w:r>
        <w:rPr>
          <w:rFonts w:hint="eastAsia" w:ascii="微软雅黑" w:hAnsi="微软雅黑" w:eastAsia="微软雅黑" w:cs="微软雅黑"/>
          <w:i w:val="0"/>
          <w:iCs w:val="0"/>
          <w:caps w:val="0"/>
          <w:color w:val="444444"/>
          <w:spacing w:val="0"/>
          <w:sz w:val="24"/>
          <w:szCs w:val="24"/>
          <w:bdr w:val="none" w:color="auto" w:sz="0" w:space="0"/>
          <w:shd w:val="clear" w:fill="FFFFFF"/>
        </w:rPr>
        <w:t>慈善法施行前登记设立的公募基金会，凭其标明慈善组织属性的登记证书向办理其登记的民政部门申领公开募捐资格证书。</w:t>
      </w:r>
    </w:p>
    <w:p w14:paraId="5843EE9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有关法律、行政法规规定可以公开募捐的其他非营利性组织，凭法人登记证书向同级人民政府民政部门申领公开募捐资格证书。</w:t>
      </w:r>
    </w:p>
    <w:p w14:paraId="7071B6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第十条 </w:t>
      </w:r>
      <w:r>
        <w:rPr>
          <w:rFonts w:hint="eastAsia" w:ascii="微软雅黑" w:hAnsi="微软雅黑" w:eastAsia="微软雅黑" w:cs="微软雅黑"/>
          <w:i w:val="0"/>
          <w:iCs w:val="0"/>
          <w:caps w:val="0"/>
          <w:color w:val="444444"/>
          <w:spacing w:val="0"/>
          <w:sz w:val="24"/>
          <w:szCs w:val="24"/>
          <w:bdr w:val="none" w:color="auto" w:sz="0" w:space="0"/>
          <w:shd w:val="clear" w:fill="FFFFFF"/>
        </w:rPr>
        <w:t>开展公开募捐活动，应当依法制定募捐方案。</w:t>
      </w:r>
    </w:p>
    <w:p w14:paraId="0632A71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募捐方案包括募捐目的、起止时间和地域、活动负责人姓名和办公地址、接受捐赠方式、银行账户、预期募集款物数额、受益人、募得款物用途、募捐成本、剩余财产的处理等。合作开展公开募捐活动的，募捐方案应当载明合作方的相关信息。</w:t>
      </w:r>
    </w:p>
    <w:p w14:paraId="42908E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募捐方案填报应当符合以下要求：</w:t>
      </w:r>
    </w:p>
    <w:p w14:paraId="0B7C469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（一）募捐目的符合本组织章程载明的宗旨和业务范围，公开募捐活动的名称应当与支持的慈善项目相关；</w:t>
      </w:r>
    </w:p>
    <w:p w14:paraId="406A3DA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（二）公开募捐活动持续时间一般不超过三年，为应对重大突发事件开展的公开募捐活动持续时间一般不超过一年；</w:t>
      </w:r>
    </w:p>
    <w:p w14:paraId="202536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（三）公开募捐活动的负责人是开展公开募捐活动的慈善组织的专职工作人员；</w:t>
      </w:r>
    </w:p>
    <w:p w14:paraId="58F5FE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（四）使用具有公开募捐资格的慈善组织的银行账户，不得使用其他组织或者个人的银行账户；</w:t>
      </w:r>
    </w:p>
    <w:p w14:paraId="7201C6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（五）预期募集款物数额与本组织管理服务能力、善款管理水平、项目执行方的管理能力相适应；</w:t>
      </w:r>
    </w:p>
    <w:p w14:paraId="467F8B2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（六）有明确的受益人范围、预期数量和确定方式，且受益人不得为特定个人；</w:t>
      </w:r>
    </w:p>
    <w:p w14:paraId="2A6EC2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（七）募得款物用途符合受益人的需要，并制定募得款物使用计划；</w:t>
      </w:r>
    </w:p>
    <w:p w14:paraId="1F09B03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（八）募捐成本遵循最必要原则，厉行节约，减少不必要的开支，不得向受益人及其利害关系人等转嫁募捐成本；</w:t>
      </w:r>
    </w:p>
    <w:p w14:paraId="3745481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（九）剩余财产应当全部用于本组织目的相同或者相近的其他慈善项目，并向社会公开。</w:t>
      </w:r>
    </w:p>
    <w:p w14:paraId="6D2B1CA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第十一条 </w:t>
      </w: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慈善组织应当在开展公开募捐活动十日前将符合本办法要求的募捐方案报送办理其登记的民政部门备案。</w:t>
      </w:r>
    </w:p>
    <w:p w14:paraId="60F82E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涉及合作募捐的，还应当提供对合作方的评估报告和合作协议。合作方为个人的，应当提供其居民身份证等有效身份证件复印件、无犯罪记录证明和个人信用报告。</w:t>
      </w:r>
    </w:p>
    <w:p w14:paraId="0A88994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材料齐备的，办理其登记的民政部门应当及时受理，十日内对予以备案的向社会公开；对募捐方案内容不齐备的，应当及时告知慈善组织，慈善组织应当在五日内补齐或者撤回备案材料。</w:t>
      </w:r>
    </w:p>
    <w:p w14:paraId="59D606A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第十二条 </w:t>
      </w: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慈善组织开展的每一项公开募捐活动应当单独备案，不得合并备案，不得用同一个募捐备案编号开展多项公开募捐活动。</w:t>
      </w:r>
    </w:p>
    <w:p w14:paraId="574C674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公开募捐活动进行中，募捐方案的有关事项发生变化的，慈善组织应当在事项发生变化之日起十日内向办理其登记的民政部门补正并说明理由。</w:t>
      </w:r>
    </w:p>
    <w:p w14:paraId="7681811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有业务主管单位的慈善组织，应当将募捐方案及补正事项报经业务主管单位同意。</w:t>
      </w:r>
    </w:p>
    <w:p w14:paraId="4223477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开展公开募捐活动，涉及公共安全、公共秩序、消防等事项的，还应当按照其他有关规定履行批准程序。</w:t>
      </w:r>
    </w:p>
    <w:p w14:paraId="688D694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第十三条 </w:t>
      </w: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慈善组织为应对重大突发事件，无法在开展公开募捐活动前办理募捐方案备案的，应当在公开募捐活动开始后十日内补办备案手续。</w:t>
      </w:r>
    </w:p>
    <w:p w14:paraId="55BED36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为应对重大突发事件开展公开募捐的慈善组织，应当及时分配或者使用募得款物，在应急处置与救援阶段至少每五日公开一次募得款物的接收情况，及时公开分配、使用情况。</w:t>
      </w:r>
    </w:p>
    <w:p w14:paraId="4A162B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第十四条</w:t>
      </w:r>
      <w:r>
        <w:rPr>
          <w:rFonts w:hint="eastAsia" w:ascii="微软雅黑" w:hAnsi="微软雅黑" w:eastAsia="微软雅黑" w:cs="微软雅黑"/>
          <w:i w:val="0"/>
          <w:iCs w:val="0"/>
          <w:caps w:val="0"/>
          <w:color w:val="444444"/>
          <w:spacing w:val="0"/>
          <w:sz w:val="24"/>
          <w:szCs w:val="24"/>
          <w:bdr w:val="none" w:color="auto" w:sz="0" w:space="0"/>
          <w:shd w:val="clear" w:fill="FFFFFF"/>
        </w:rPr>
        <w:t> 慈善组织在办理其登记的民政部门管辖区域外，以慈善法第二十三条第一款第一项、第二项方式开展公开募捐活动的，除向办理其登记的民政部门备案外，还应当在开展公开募捐活动十日前，向其开展募捐活动所在地的县级以上人民政府民政部门备案，提交募捐方案、公开募捐资格证书复印件、确有必要在当地开展公开募捐活动的情况说明。</w:t>
      </w:r>
    </w:p>
    <w:p w14:paraId="40D2DF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第十五条</w:t>
      </w:r>
      <w:r>
        <w:rPr>
          <w:rFonts w:hint="eastAsia" w:ascii="微软雅黑" w:hAnsi="微软雅黑" w:eastAsia="微软雅黑" w:cs="微软雅黑"/>
          <w:i w:val="0"/>
          <w:iCs w:val="0"/>
          <w:caps w:val="0"/>
          <w:color w:val="444444"/>
          <w:spacing w:val="0"/>
          <w:sz w:val="24"/>
          <w:szCs w:val="24"/>
          <w:bdr w:val="none" w:color="auto" w:sz="0" w:space="0"/>
          <w:shd w:val="clear" w:fill="FFFFFF"/>
        </w:rPr>
        <w:t> 慈善组织开展公开募捐活动应当按照本组织章程和内部管理制度履行必要的内部决策程序，并形成经法定代表人同意的决策文件；应当建立公开募捐信息档案，做好详细的款物签收或者服务记录台账，妥善保管相关凭证资料，方便有关部门和捐赠人查阅。</w:t>
      </w:r>
    </w:p>
    <w:p w14:paraId="43DF301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第十六条 </w:t>
      </w: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慈善组织开展公开募捐活动，应当在募捐活动现场或者募捐活动载体的显著位置，公布本组织名称、公开募捐资格证书、募捐方案、联系方式、募捐信息查询方法等。</w:t>
      </w:r>
    </w:p>
    <w:p w14:paraId="69E4E5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第十七条 </w:t>
      </w: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通过互联网开展公开募捐活动的，应当在国务院民政部门指定的互联网公开募捐服务平台进行，并可以同时在以本慈善组织名义开通的门户网站、官方微博、官方微信、移动客户端等网络平台发布公开募捐信息。</w:t>
      </w:r>
    </w:p>
    <w:p w14:paraId="4DD0B8A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慈善组织发布的公开募捐活动名称等信息应当与备案的募捐方案载明的信息保持一致，不得随意变更。</w:t>
      </w:r>
    </w:p>
    <w:p w14:paraId="6CA143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第十八条 </w:t>
      </w:r>
      <w:r>
        <w:rPr>
          <w:rFonts w:hint="eastAsia" w:ascii="微软雅黑" w:hAnsi="微软雅黑" w:eastAsia="微软雅黑" w:cs="微软雅黑"/>
          <w:i w:val="0"/>
          <w:iCs w:val="0"/>
          <w:caps w:val="0"/>
          <w:color w:val="444444"/>
          <w:spacing w:val="0"/>
          <w:sz w:val="24"/>
          <w:szCs w:val="24"/>
          <w:bdr w:val="none" w:color="auto" w:sz="0" w:space="0"/>
          <w:shd w:val="clear" w:fill="FFFFFF"/>
        </w:rPr>
        <w:t>具有公开募捐资格的慈善组织与不具有公开募捐资格的组织或者个人合作开展公开募捐活动，应当基于慈善目的并承担相应法律责任。不具有公开募捐资格的合作方不得以任何形式自行开展公开募捐。</w:t>
      </w:r>
    </w:p>
    <w:p w14:paraId="7800015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具有公开募捐资格的慈善组织应当对合作方进行评估，形成评估报告。评估报告内容应当包括合作方信用信息及社会评价情况，实现募捐目的的专业资质能力情况，与受益人是否存在利害关系等。</w:t>
      </w:r>
    </w:p>
    <w:p w14:paraId="4A33A86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具有公开募捐资格的慈善组织应当与合作方依法签订书面协议。协议内容应当包括合作公开募捐活动名称、募捐目的、合作起止时间、公开募捐方式、募得款物管理使用计划、合作双方权利义务、违约责任及争议处理方式等。解除合作协议的，应当以书面方式确认。</w:t>
      </w:r>
    </w:p>
    <w:p w14:paraId="4A0D11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具有公开募捐资格的慈善组织应当负责对合作募得的款物进行管理和会计核算，将全部收支纳入其账户。</w:t>
      </w:r>
    </w:p>
    <w:p w14:paraId="4D4D0F3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具有公开募捐资格的慈善组织应当对合作方的相关行为进行指导和监督，可以采取培训、督导、评估、审计等方式。</w:t>
      </w:r>
    </w:p>
    <w:p w14:paraId="03E2A9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合作方应当配合具有公开募捐资格的慈善组织开展相关工作。</w:t>
      </w:r>
    </w:p>
    <w:p w14:paraId="588F4C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第十九条 </w:t>
      </w:r>
      <w:r>
        <w:rPr>
          <w:rFonts w:hint="eastAsia" w:ascii="微软雅黑" w:hAnsi="微软雅黑" w:eastAsia="微软雅黑" w:cs="微软雅黑"/>
          <w:i w:val="0"/>
          <w:iCs w:val="0"/>
          <w:caps w:val="0"/>
          <w:color w:val="444444"/>
          <w:spacing w:val="0"/>
          <w:sz w:val="24"/>
          <w:szCs w:val="24"/>
          <w:bdr w:val="none" w:color="auto" w:sz="0" w:space="0"/>
          <w:shd w:val="clear" w:fill="FFFFFF"/>
        </w:rPr>
        <w:t>具有公开募捐资格的慈善组织确定受益人时应当坚持公开、公平、公正的原则。受益人为自然人的，慈善组织在慈善活动中应当尊重其人格尊严，依法保护其有关信息，不得侵害其隐私。</w:t>
      </w:r>
    </w:p>
    <w:p w14:paraId="46D7CF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慈善组织不得对受益人附加违反法律法规和违背社会公德的条件，不得指定或者变相指定捐赠人的利害关系人作为受益人。</w:t>
      </w:r>
    </w:p>
    <w:p w14:paraId="29A06D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第二十条 </w:t>
      </w:r>
      <w:r>
        <w:rPr>
          <w:rFonts w:hint="eastAsia" w:ascii="微软雅黑" w:hAnsi="微软雅黑" w:eastAsia="微软雅黑" w:cs="微软雅黑"/>
          <w:i w:val="0"/>
          <w:iCs w:val="0"/>
          <w:caps w:val="0"/>
          <w:color w:val="444444"/>
          <w:spacing w:val="0"/>
          <w:sz w:val="24"/>
          <w:szCs w:val="24"/>
          <w:bdr w:val="none" w:color="auto" w:sz="0" w:space="0"/>
          <w:shd w:val="clear" w:fill="FFFFFF"/>
        </w:rPr>
        <w:t>具有公开募捐资格的慈善组织应当依据法律法规、章程规定和募捐方案加强对募得款物的管理和使用。确需变更募捐方案规定的募得款物用途的，应当召开理事会进行审议，报办理其登记的民政部门备案，并向社会公开。慈善组织有业务主管单位的，还应当报经业务主管单位同意。</w:t>
      </w:r>
    </w:p>
    <w:p w14:paraId="463C4B3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募得款物用于采购物资、服务或者发放物资的，应当按照公开、公平、公正的原则。涉及采购物资和服务的，有关物资和服务价格不得高于市场公允价值；涉及发放物资的，应当确保采购、配送、签收等环节合法、合规、安全、有效。</w:t>
      </w:r>
    </w:p>
    <w:p w14:paraId="1B7865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第二十一条 </w:t>
      </w:r>
      <w:r>
        <w:rPr>
          <w:rFonts w:hint="eastAsia" w:ascii="微软雅黑" w:hAnsi="微软雅黑" w:eastAsia="微软雅黑" w:cs="微软雅黑"/>
          <w:i w:val="0"/>
          <w:iCs w:val="0"/>
          <w:caps w:val="0"/>
          <w:color w:val="444444"/>
          <w:spacing w:val="0"/>
          <w:sz w:val="24"/>
          <w:szCs w:val="24"/>
          <w:bdr w:val="none" w:color="auto" w:sz="0" w:space="0"/>
          <w:shd w:val="clear" w:fill="FFFFFF"/>
        </w:rPr>
        <w:t>具有公开募捐资格的慈善组织应当对公开募捐活动募集和使用慈善财产情况、委托第三方执行慈善项目情况等进行公开。涉及合作募捐的，还应当公开合作方信息。</w:t>
      </w:r>
    </w:p>
    <w:p w14:paraId="0490114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公开募捐周期超过六个月的，至少每三个月公开一次募捐情况，公开募捐活动结束后三个月内应当全面、详细公开募捐情况。</w:t>
      </w:r>
    </w:p>
    <w:p w14:paraId="46CCD25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慈善项目实施周期超过六个月的，至少每三个月公开一次项目实施情况，项目结束后三个月内应当全面、详细公开项目实施情况和募得款物使用情况。</w:t>
      </w:r>
    </w:p>
    <w:p w14:paraId="68CCF0A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第二十二条 </w:t>
      </w:r>
      <w:r>
        <w:rPr>
          <w:rFonts w:hint="eastAsia" w:ascii="微软雅黑" w:hAnsi="微软雅黑" w:eastAsia="微软雅黑" w:cs="微软雅黑"/>
          <w:i w:val="0"/>
          <w:iCs w:val="0"/>
          <w:caps w:val="0"/>
          <w:color w:val="444444"/>
          <w:spacing w:val="0"/>
          <w:sz w:val="24"/>
          <w:szCs w:val="24"/>
          <w:bdr w:val="none" w:color="auto" w:sz="0" w:space="0"/>
          <w:shd w:val="clear" w:fill="FFFFFF"/>
        </w:rPr>
        <w:t>具有公开募捐资格的慈善组织不再符合本办法第五条规定条件的，由办理其登记的民政部门纳入社会组织活动异常名录并向社会公告。</w:t>
      </w:r>
    </w:p>
    <w:p w14:paraId="3FB7CF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第二十三条 </w:t>
      </w: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慈善组织被依法吊销公开募捐资格证书的，应当立即停止公开募捐活动，已通过公开募捐活动获得的募得款物应当继续按照备案的募捐方案执行，并将相关情况及时向社会公开。</w:t>
      </w:r>
    </w:p>
    <w:p w14:paraId="74109C7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出现前款规定情形的，办理其登记的民政部门应当在十日内向社会公告。</w:t>
      </w:r>
    </w:p>
    <w:p w14:paraId="63709B9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慈善组织被依法吊销公开募捐资格证书的，当年开展慈善活动的年度支出和管理费用按照具有公开募捐资格的慈善组织相关标准执行。</w:t>
      </w:r>
    </w:p>
    <w:p w14:paraId="2BE54C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公开募捐资格证书被吊销的慈善组织，五年内不得再次申请。</w:t>
      </w:r>
    </w:p>
    <w:p w14:paraId="5269CBE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第二十四条</w:t>
      </w:r>
      <w:r>
        <w:rPr>
          <w:rFonts w:hint="eastAsia" w:ascii="微软雅黑" w:hAnsi="微软雅黑" w:eastAsia="微软雅黑" w:cs="微软雅黑"/>
          <w:i w:val="0"/>
          <w:iCs w:val="0"/>
          <w:caps w:val="0"/>
          <w:color w:val="444444"/>
          <w:spacing w:val="0"/>
          <w:sz w:val="24"/>
          <w:szCs w:val="24"/>
          <w:bdr w:val="none" w:color="auto" w:sz="0" w:space="0"/>
          <w:shd w:val="clear" w:fill="FFFFFF"/>
        </w:rPr>
        <w:t> 慈善组织有下列情形之一的，办理其登记的民政部门可以予以警告、责令限期改正：</w:t>
      </w:r>
    </w:p>
    <w:p w14:paraId="7314583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（一）伪造、变造、出租、出借公开募捐资格证书的；</w:t>
      </w:r>
    </w:p>
    <w:p w14:paraId="6E75467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（二）未按照募捐方案确定的时间，超出募捐方案确定的期限、地域范围、方式进行募捐的；</w:t>
      </w:r>
    </w:p>
    <w:p w14:paraId="251BDFB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（三）开展公开募捐未在募捐活动现场或者募捐活动载体的显著位置公布募捐活动信息的；</w:t>
      </w:r>
    </w:p>
    <w:p w14:paraId="7088E3E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（四）其他违反本办法情形的。</w:t>
      </w:r>
    </w:p>
    <w:p w14:paraId="253D8FA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未按照本办法报备募捐方案的，按照慈善法第一百一十条进行处理。</w:t>
      </w:r>
    </w:p>
    <w:p w14:paraId="23F531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第二十五条 </w:t>
      </w:r>
      <w:r>
        <w:rPr>
          <w:rFonts w:hint="eastAsia" w:ascii="微软雅黑" w:hAnsi="微软雅黑" w:eastAsia="微软雅黑" w:cs="微软雅黑"/>
          <w:i w:val="0"/>
          <w:iCs w:val="0"/>
          <w:caps w:val="0"/>
          <w:color w:val="444444"/>
          <w:spacing w:val="0"/>
          <w:sz w:val="24"/>
          <w:szCs w:val="24"/>
          <w:bdr w:val="none" w:color="auto" w:sz="0" w:space="0"/>
          <w:shd w:val="clear" w:fill="FFFFFF"/>
        </w:rPr>
        <w:t>公开募捐资格证书样式、公开募捐方案备案指引，由民政部统一制定。</w:t>
      </w:r>
    </w:p>
    <w:p w14:paraId="7015122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第二十六条 </w:t>
      </w:r>
      <w:r>
        <w:rPr>
          <w:rFonts w:hint="eastAsia" w:ascii="微软雅黑" w:hAnsi="微软雅黑" w:eastAsia="微软雅黑" w:cs="微软雅黑"/>
          <w:i w:val="0"/>
          <w:iCs w:val="0"/>
          <w:caps w:val="0"/>
          <w:color w:val="444444"/>
          <w:spacing w:val="0"/>
          <w:sz w:val="24"/>
          <w:szCs w:val="24"/>
          <w:bdr w:val="none" w:color="auto" w:sz="0" w:space="0"/>
          <w:shd w:val="clear" w:fill="FFFFFF"/>
        </w:rPr>
        <w:t>有关法律、行政法规规定可以公开募捐的非营利性组织开展公开募捐活动适用本办法。</w:t>
      </w:r>
    </w:p>
    <w:p w14:paraId="382584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第二十七条 </w:t>
      </w:r>
      <w:r>
        <w:rPr>
          <w:rFonts w:hint="eastAsia" w:ascii="微软雅黑" w:hAnsi="微软雅黑" w:eastAsia="微软雅黑" w:cs="微软雅黑"/>
          <w:i w:val="0"/>
          <w:iCs w:val="0"/>
          <w:caps w:val="0"/>
          <w:color w:val="444444"/>
          <w:spacing w:val="0"/>
          <w:sz w:val="24"/>
          <w:szCs w:val="24"/>
          <w:bdr w:val="none" w:color="auto" w:sz="0" w:space="0"/>
          <w:shd w:val="clear" w:fill="FFFFFF"/>
        </w:rPr>
        <w:t>本办法由民政部负责解释。</w:t>
      </w:r>
    </w:p>
    <w:p w14:paraId="3F4FF4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第二十八条 </w:t>
      </w:r>
      <w:r>
        <w:rPr>
          <w:rFonts w:hint="eastAsia" w:ascii="微软雅黑" w:hAnsi="微软雅黑" w:eastAsia="微软雅黑" w:cs="微软雅黑"/>
          <w:i w:val="0"/>
          <w:iCs w:val="0"/>
          <w:caps w:val="0"/>
          <w:color w:val="444444"/>
          <w:spacing w:val="0"/>
          <w:sz w:val="24"/>
          <w:szCs w:val="24"/>
          <w:bdr w:val="none" w:color="auto" w:sz="0" w:space="0"/>
          <w:shd w:val="clear" w:fill="FFFFFF"/>
        </w:rPr>
        <w:t>本办法自2024年9月5日起施行。2016年8月31日民政部发布的《慈善组织公开募捐管理办法》同时废止。</w:t>
      </w:r>
    </w:p>
    <w:p w14:paraId="4C1F8DE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My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7A55FA"/>
    <w:rsid w:val="22B22EAC"/>
    <w:rsid w:val="3F2B1711"/>
    <w:rsid w:val="42F66DAD"/>
    <w:rsid w:val="7E095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5339</Words>
  <Characters>5343</Characters>
  <Lines>0</Lines>
  <Paragraphs>0</Paragraphs>
  <TotalTime>10</TotalTime>
  <ScaleCrop>false</ScaleCrop>
  <LinksUpToDate>false</LinksUpToDate>
  <CharactersWithSpaces>5417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Lion</cp:lastModifiedBy>
  <dcterms:modified xsi:type="dcterms:W3CDTF">2025-11-24T08:10:28Z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eyJoZGlkIjoiNjk3OTlhMWNhYmJjMzIxNWIyOWJjNTQ0ZmY3OWI1NTAiLCJ1c2VySWQiOiI1NDEwMzQyNDYifQ==</vt:lpwstr>
  </property>
  <property fmtid="{D5CDD505-2E9C-101B-9397-08002B2CF9AE}" pid="4" name="ICV">
    <vt:lpwstr>9E72DBB2942B440E8E743D832404BE52_12</vt:lpwstr>
  </property>
</Properties>
</file>